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D" w:rsidRDefault="0014662D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Утверждено приказом  </w:t>
      </w:r>
    </w:p>
    <w:p w:rsidR="0014662D" w:rsidRDefault="00BF3AA4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МБОУ СОШ №1</w:t>
      </w:r>
    </w:p>
    <w:p w:rsidR="0014662D" w:rsidRDefault="00BF3AA4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от 05.12.2017</w:t>
      </w:r>
      <w:r w:rsidR="0014662D">
        <w:rPr>
          <w:rFonts w:ascii="Book Antiqua" w:hAnsi="Book Antiqua"/>
        </w:rPr>
        <w:t xml:space="preserve"> г. № </w:t>
      </w:r>
      <w:r>
        <w:rPr>
          <w:rFonts w:ascii="Book Antiqua" w:hAnsi="Book Antiqua"/>
        </w:rPr>
        <w:t>87</w:t>
      </w:r>
    </w:p>
    <w:p w:rsidR="00BF3AA4" w:rsidRDefault="00AF4A6B" w:rsidP="00BF3AA4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4"/>
        </w:rPr>
      </w:pPr>
      <w:r w:rsidRPr="00021576">
        <w:rPr>
          <w:rFonts w:ascii="Book Antiqua" w:hAnsi="Book Antiqua" w:cs="Times New Roman"/>
          <w:b/>
          <w:sz w:val="28"/>
          <w:szCs w:val="24"/>
        </w:rPr>
        <w:t xml:space="preserve">Оценка коррупционных рисков муниципального </w:t>
      </w:r>
      <w:r w:rsidR="00BF3AA4">
        <w:rPr>
          <w:rFonts w:ascii="Book Antiqua" w:hAnsi="Book Antiqua" w:cs="Times New Roman"/>
          <w:b/>
          <w:sz w:val="28"/>
          <w:szCs w:val="24"/>
        </w:rPr>
        <w:t xml:space="preserve">бюджетного </w:t>
      </w:r>
      <w:r w:rsidRPr="00021576">
        <w:rPr>
          <w:rFonts w:ascii="Book Antiqua" w:hAnsi="Book Antiqua" w:cs="Times New Roman"/>
          <w:b/>
          <w:sz w:val="28"/>
          <w:szCs w:val="24"/>
        </w:rPr>
        <w:t>об</w:t>
      </w:r>
      <w:r w:rsidR="00BF3AA4">
        <w:rPr>
          <w:rFonts w:ascii="Book Antiqua" w:hAnsi="Book Antiqua" w:cs="Times New Roman"/>
          <w:b/>
          <w:sz w:val="28"/>
          <w:szCs w:val="24"/>
        </w:rPr>
        <w:t xml:space="preserve">щеобразовательного учреждения </w:t>
      </w:r>
    </w:p>
    <w:p w:rsidR="00AF4A6B" w:rsidRPr="00021576" w:rsidRDefault="00BF3AA4" w:rsidP="00BF3AA4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4"/>
        </w:rPr>
      </w:pPr>
      <w:r>
        <w:rPr>
          <w:rFonts w:ascii="Book Antiqua" w:hAnsi="Book Antiqua" w:cs="Times New Roman"/>
          <w:b/>
          <w:sz w:val="28"/>
          <w:szCs w:val="24"/>
        </w:rPr>
        <w:t>с</w:t>
      </w:r>
      <w:r w:rsidR="00AF4A6B" w:rsidRPr="00021576">
        <w:rPr>
          <w:rFonts w:ascii="Book Antiqua" w:hAnsi="Book Antiqua" w:cs="Times New Roman"/>
          <w:b/>
          <w:sz w:val="28"/>
          <w:szCs w:val="24"/>
        </w:rPr>
        <w:t>редняя</w:t>
      </w:r>
      <w:r>
        <w:rPr>
          <w:rFonts w:ascii="Book Antiqua" w:hAnsi="Book Antiqua" w:cs="Times New Roman"/>
          <w:b/>
          <w:sz w:val="28"/>
          <w:szCs w:val="24"/>
        </w:rPr>
        <w:t xml:space="preserve"> общеобразовательная  школа № 1 (МБОУ СОШ №1)</w:t>
      </w:r>
    </w:p>
    <w:p w:rsidR="00AF4A6B" w:rsidRPr="00021576" w:rsidRDefault="00AF4A6B" w:rsidP="00F13595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    Целью оценки коррупционных рисков является определение конкретных </w:t>
      </w:r>
      <w:r w:rsidR="00F13595"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процессов и хозяйственных 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операций в деятельности </w:t>
      </w:r>
      <w:r w:rsidR="00BF3AA4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МБОУ СОШ №1 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при реализации которых наиболее высока вероятность совершения работниками </w:t>
      </w:r>
      <w:r w:rsidR="00BF3AA4">
        <w:rPr>
          <w:rFonts w:ascii="Book Antiqua" w:eastAsia="Times New Roman" w:hAnsi="Book Antiqua" w:cs="Times New Roman"/>
          <w:sz w:val="24"/>
          <w:szCs w:val="24"/>
          <w:lang w:eastAsia="ru-RU"/>
        </w:rPr>
        <w:t>ОО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коррупционных </w:t>
      </w:r>
      <w:proofErr w:type="gramStart"/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правонарушений</w:t>
      </w:r>
      <w:proofErr w:type="gramEnd"/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</w:t>
      </w:r>
      <w:r w:rsidR="00F13595"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школы</w:t>
      </w: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AF4A6B" w:rsidRPr="00B60AD2" w:rsidRDefault="00AF4A6B" w:rsidP="00B60AD2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B60AD2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 xml:space="preserve">Возможные коррупционные правонарушения в </w:t>
      </w:r>
      <w:r w:rsidR="00BF3AA4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МБОУ СОШ №11</w:t>
      </w:r>
      <w:r w:rsidRPr="00B60AD2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:</w:t>
      </w:r>
    </w:p>
    <w:p w:rsidR="00AF4A6B" w:rsidRPr="00021576" w:rsidRDefault="00AF4A6B" w:rsidP="00B60AD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- при взаимодействии «учитель-ученик» в процессе образовательных отношений;</w:t>
      </w:r>
    </w:p>
    <w:p w:rsidR="00AF4A6B" w:rsidRPr="00021576" w:rsidRDefault="00AF4A6B" w:rsidP="00B60AD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- при взаимодействии «учитель-родитель» в процессе образовательных отношений;</w:t>
      </w:r>
    </w:p>
    <w:p w:rsidR="00AF4A6B" w:rsidRPr="00021576" w:rsidRDefault="00AF4A6B" w:rsidP="00B60AD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sz w:val="24"/>
          <w:szCs w:val="24"/>
          <w:lang w:eastAsia="ru-RU"/>
        </w:rPr>
        <w:t>-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B60AD2" w:rsidRDefault="00021576" w:rsidP="00B60AD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21576">
        <w:rPr>
          <w:rFonts w:ascii="Book Antiqua" w:hAnsi="Book Antiqua" w:cs="Times New Roman"/>
          <w:b/>
          <w:sz w:val="24"/>
          <w:szCs w:val="24"/>
        </w:rPr>
        <w:t>Перечень должностей</w:t>
      </w:r>
    </w:p>
    <w:p w:rsidR="00021576" w:rsidRPr="00021576" w:rsidRDefault="00BF3AA4" w:rsidP="00B60AD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МБОУ СОШ №1</w:t>
      </w:r>
      <w:bookmarkStart w:id="0" w:name="_GoBack"/>
      <w:bookmarkEnd w:id="0"/>
      <w:r w:rsidR="00021576" w:rsidRPr="00021576">
        <w:rPr>
          <w:rFonts w:ascii="Book Antiqua" w:hAnsi="Book Antiqua"/>
          <w:b/>
          <w:sz w:val="24"/>
          <w:szCs w:val="24"/>
        </w:rPr>
        <w:t xml:space="preserve"> замещение которых связано с коррупционными рисками</w:t>
      </w:r>
    </w:p>
    <w:p w:rsidR="00021576" w:rsidRPr="00021576" w:rsidRDefault="00021576" w:rsidP="00021576">
      <w:pPr>
        <w:rPr>
          <w:rFonts w:ascii="Book Antiqua" w:hAnsi="Book Antiqua"/>
          <w:sz w:val="24"/>
          <w:szCs w:val="24"/>
        </w:rPr>
      </w:pP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Директор школы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Заместитель директора по АХР 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Зам</w:t>
      </w:r>
      <w:r w:rsidR="00B60AD2">
        <w:rPr>
          <w:rFonts w:ascii="Book Antiqua" w:hAnsi="Book Antiqua"/>
          <w:sz w:val="24"/>
          <w:szCs w:val="24"/>
        </w:rPr>
        <w:t>еститель директора по учебно-</w:t>
      </w:r>
      <w:r w:rsidRPr="00021576">
        <w:rPr>
          <w:rFonts w:ascii="Book Antiqua" w:hAnsi="Book Antiqua"/>
          <w:sz w:val="24"/>
          <w:szCs w:val="24"/>
        </w:rPr>
        <w:t>воспитательной работе</w:t>
      </w:r>
    </w:p>
    <w:p w:rsidR="00B60AD2" w:rsidRPr="00021576" w:rsidRDefault="00B60AD2" w:rsidP="00B60AD2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Заместитель директора по воспитательной работе</w:t>
      </w:r>
    </w:p>
    <w:p w:rsidR="00B60AD2" w:rsidRDefault="00B60AD2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Главный бухгалтер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Секретарь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Учитель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Классный руководитель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Библиотекарь</w:t>
      </w:r>
    </w:p>
    <w:p w:rsidR="00940F97" w:rsidRPr="00021576" w:rsidRDefault="00940F97" w:rsidP="00940F97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21576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Зоны повышенного коррупционного риска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56"/>
        <w:gridCol w:w="3187"/>
        <w:gridCol w:w="5728"/>
      </w:tblGrid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№</w:t>
            </w:r>
          </w:p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gramStart"/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60AD2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-предоставление заведомо ложных сведений о </w:t>
            </w: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проведении мониторинга цен на товары и услуги;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  граждан, организаций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940F97" w:rsidRPr="00021576" w:rsidTr="00940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940F97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940F97" w:rsidRPr="00021576" w:rsidRDefault="00940F97" w:rsidP="00B60AD2">
            <w:pPr>
              <w:spacing w:after="12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02157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60AD2" w:rsidRDefault="00B60AD2" w:rsidP="00021576">
      <w:pPr>
        <w:pStyle w:val="1"/>
        <w:spacing w:after="120" w:line="288" w:lineRule="auto"/>
        <w:ind w:firstLine="0"/>
        <w:rPr>
          <w:rFonts w:ascii="Book Antiqua" w:hAnsi="Book Antiqua" w:cs="Times New Roman"/>
          <w:b/>
          <w:sz w:val="24"/>
          <w:szCs w:val="24"/>
        </w:rPr>
      </w:pPr>
      <w:bookmarkStart w:id="1" w:name="_Toc358286134"/>
    </w:p>
    <w:p w:rsidR="00021576" w:rsidRPr="00021576" w:rsidRDefault="00021576" w:rsidP="00021576">
      <w:pPr>
        <w:pStyle w:val="1"/>
        <w:spacing w:after="120" w:line="288" w:lineRule="auto"/>
        <w:ind w:firstLine="0"/>
        <w:rPr>
          <w:rFonts w:ascii="Book Antiqua" w:hAnsi="Book Antiqua" w:cs="Times New Roman"/>
          <w:sz w:val="24"/>
          <w:szCs w:val="24"/>
        </w:rPr>
      </w:pPr>
      <w:r w:rsidRPr="00021576">
        <w:rPr>
          <w:rFonts w:ascii="Book Antiqua" w:hAnsi="Book Antiqua" w:cs="Times New Roman"/>
          <w:b/>
          <w:sz w:val="24"/>
          <w:szCs w:val="24"/>
        </w:rPr>
        <w:t>3.</w:t>
      </w:r>
      <w:r w:rsidRPr="00021576">
        <w:rPr>
          <w:rFonts w:ascii="Book Antiqua" w:hAnsi="Book Antiqua" w:cs="Times New Roman"/>
          <w:sz w:val="24"/>
          <w:szCs w:val="24"/>
        </w:rPr>
        <w:t xml:space="preserve"> </w:t>
      </w:r>
      <w:bookmarkEnd w:id="1"/>
      <w:r w:rsidRPr="00021576">
        <w:rPr>
          <w:rFonts w:ascii="Book Antiqua" w:hAnsi="Book Antiqua" w:cs="Times New Roman"/>
          <w:b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021576">
        <w:rPr>
          <w:rFonts w:ascii="Book Antiqua" w:hAnsi="Book Antiqua"/>
          <w:sz w:val="24"/>
          <w:szCs w:val="24"/>
        </w:rPr>
        <w:t>коррупционно</w:t>
      </w:r>
      <w:proofErr w:type="spellEnd"/>
      <w:r w:rsidRPr="00021576">
        <w:rPr>
          <w:rFonts w:ascii="Book Antiqua" w:hAnsi="Book Antiqua"/>
          <w:sz w:val="24"/>
          <w:szCs w:val="24"/>
        </w:rPr>
        <w:t>-опасной функции до введения препятствий (ограничений), затрудняющих реализацию коррупционных схем.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В этой связи, к данным мероприятиям можно отнести: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перераспределение функций между структурными подразделениями внутри организации;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организации внутреннего </w:t>
      </w:r>
      <w:proofErr w:type="gramStart"/>
      <w:r w:rsidRPr="00021576">
        <w:rPr>
          <w:rFonts w:ascii="Book Antiqua" w:hAnsi="Book Antiqua"/>
          <w:sz w:val="24"/>
          <w:szCs w:val="24"/>
        </w:rPr>
        <w:t>контроля за</w:t>
      </w:r>
      <w:proofErr w:type="gramEnd"/>
      <w:r w:rsidRPr="00021576">
        <w:rPr>
          <w:rFonts w:ascii="Book Antiqua" w:hAnsi="Book Antiqua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21576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B87F3F" w:rsidRPr="00021576" w:rsidRDefault="00021576" w:rsidP="0014662D">
      <w:pPr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B87F3F" w:rsidRPr="00021576" w:rsidSect="00BF3A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11"/>
    <w:rsid w:val="00021576"/>
    <w:rsid w:val="0014662D"/>
    <w:rsid w:val="0061398C"/>
    <w:rsid w:val="00907211"/>
    <w:rsid w:val="00940F97"/>
    <w:rsid w:val="00AF4A6B"/>
    <w:rsid w:val="00B17C62"/>
    <w:rsid w:val="00B60AD2"/>
    <w:rsid w:val="00B87F3F"/>
    <w:rsid w:val="00BF3AA4"/>
    <w:rsid w:val="00C2216B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Дроздова</dc:creator>
  <cp:lastModifiedBy>Angela</cp:lastModifiedBy>
  <cp:revision>4</cp:revision>
  <cp:lastPrinted>2015-10-07T10:37:00Z</cp:lastPrinted>
  <dcterms:created xsi:type="dcterms:W3CDTF">2015-10-07T16:43:00Z</dcterms:created>
  <dcterms:modified xsi:type="dcterms:W3CDTF">2017-12-05T06:35:00Z</dcterms:modified>
</cp:coreProperties>
</file>